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page" w:horzAnchor="page" w:tblpX="1831" w:tblpY="6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335"/>
      </w:tblGrid>
      <w:tr w:rsidR="004D41D2" w14:paraId="73FDEEFF" w14:textId="77777777" w:rsidTr="004D41D2">
        <w:tc>
          <w:tcPr>
            <w:tcW w:w="4737" w:type="dxa"/>
          </w:tcPr>
          <w:p w14:paraId="690A8D7B" w14:textId="77777777" w:rsidR="004D41D2" w:rsidRDefault="004D41D2" w:rsidP="004D41D2">
            <w:pPr>
              <w:rPr>
                <w:b/>
              </w:rPr>
            </w:pPr>
            <w:bookmarkStart w:id="0" w:name="_Hlk147917631"/>
            <w:bookmarkEnd w:id="0"/>
            <w:r>
              <w:rPr>
                <w:b/>
                <w:color w:val="043B7A"/>
              </w:rPr>
              <w:t xml:space="preserve">Pôle : </w:t>
            </w:r>
            <w:r w:rsidRPr="00D24DC6">
              <w:t xml:space="preserve">Pôle </w:t>
            </w:r>
            <w:r>
              <w:t>société et citoyenneté</w:t>
            </w:r>
          </w:p>
          <w:p w14:paraId="54E2A50A" w14:textId="77777777" w:rsidR="004D41D2" w:rsidRDefault="004D41D2" w:rsidP="004D41D2">
            <w:r>
              <w:rPr>
                <w:b/>
                <w:color w:val="043B7A"/>
              </w:rPr>
              <w:t xml:space="preserve">Nature du besoin : </w:t>
            </w:r>
            <w:r w:rsidRPr="00D24DC6">
              <w:t>Permanent</w:t>
            </w:r>
            <w:r>
              <w:t xml:space="preserve">e </w:t>
            </w:r>
          </w:p>
          <w:p w14:paraId="15E2460E" w14:textId="77777777" w:rsidR="004D41D2" w:rsidRDefault="004D41D2" w:rsidP="004D41D2">
            <w:r>
              <w:rPr>
                <w:b/>
                <w:color w:val="043B7A"/>
              </w:rPr>
              <w:t xml:space="preserve">Filière : </w:t>
            </w:r>
            <w:r>
              <w:t>Administrative</w:t>
            </w:r>
            <w:r w:rsidRPr="00D24DC6">
              <w:t xml:space="preserve">     </w:t>
            </w:r>
          </w:p>
          <w:p w14:paraId="24A63D43" w14:textId="77777777" w:rsidR="004D41D2" w:rsidRDefault="004D41D2" w:rsidP="004D41D2">
            <w:r>
              <w:rPr>
                <w:b/>
                <w:color w:val="043B7A"/>
              </w:rPr>
              <w:t xml:space="preserve">Localisation : </w:t>
            </w:r>
            <w:r w:rsidRPr="00D24DC6">
              <w:t xml:space="preserve">Bobigny           </w:t>
            </w:r>
          </w:p>
          <w:p w14:paraId="1888F355" w14:textId="77777777" w:rsidR="004D41D2" w:rsidRDefault="004D41D2" w:rsidP="004D41D2">
            <w:r w:rsidRPr="00746D83">
              <w:rPr>
                <w:b/>
                <w:color w:val="043B7A"/>
              </w:rPr>
              <w:t xml:space="preserve">Métier (emploi-type) : </w:t>
            </w:r>
            <w:proofErr w:type="spellStart"/>
            <w:r>
              <w:t>Chef.fe</w:t>
            </w:r>
            <w:proofErr w:type="spellEnd"/>
            <w:r>
              <w:t xml:space="preserve"> de secteur budget</w:t>
            </w:r>
          </w:p>
          <w:p w14:paraId="58EBBC00" w14:textId="77777777" w:rsidR="004D41D2" w:rsidRDefault="004D41D2" w:rsidP="004D41D2">
            <w:pPr>
              <w:rPr>
                <w:b/>
                <w:color w:val="043B7A"/>
              </w:rPr>
            </w:pPr>
            <w:r>
              <w:rPr>
                <w:b/>
                <w:color w:val="043B7A"/>
              </w:rPr>
              <w:t xml:space="preserve">Catégorie : </w:t>
            </w:r>
            <w:r w:rsidRPr="005B521F">
              <w:t>A</w:t>
            </w:r>
            <w:r w:rsidRPr="000D2649">
              <w:t xml:space="preserve">   </w:t>
            </w:r>
            <w:r w:rsidRPr="000D2649">
              <w:rPr>
                <w:b/>
              </w:rPr>
              <w:t xml:space="preserve">            </w:t>
            </w:r>
          </w:p>
          <w:p w14:paraId="669827B6" w14:textId="77777777" w:rsidR="004D41D2" w:rsidRDefault="004D41D2" w:rsidP="004D41D2">
            <w:pPr>
              <w:rPr>
                <w:b/>
                <w:color w:val="043B7A"/>
              </w:rPr>
            </w:pPr>
          </w:p>
          <w:p w14:paraId="7638578B" w14:textId="77777777" w:rsidR="004D41D2" w:rsidRDefault="004D41D2" w:rsidP="004D41D2">
            <w:pPr>
              <w:jc w:val="center"/>
              <w:rPr>
                <w:b/>
                <w:color w:val="043B7A"/>
              </w:rPr>
            </w:pPr>
          </w:p>
        </w:tc>
        <w:tc>
          <w:tcPr>
            <w:tcW w:w="4335" w:type="dxa"/>
          </w:tcPr>
          <w:p w14:paraId="6A8354F2" w14:textId="77777777" w:rsidR="004D41D2" w:rsidRDefault="004D41D2" w:rsidP="004D41D2">
            <w:r>
              <w:rPr>
                <w:b/>
                <w:color w:val="043B7A"/>
              </w:rPr>
              <w:t xml:space="preserve">Cadre d’emploi : </w:t>
            </w:r>
            <w:r>
              <w:t>Attachés territoriaux</w:t>
            </w:r>
          </w:p>
          <w:p w14:paraId="4B5EC605" w14:textId="77777777" w:rsidR="004D41D2" w:rsidRDefault="004D41D2" w:rsidP="004D41D2">
            <w:pPr>
              <w:rPr>
                <w:b/>
                <w:color w:val="043B7A"/>
              </w:rPr>
            </w:pPr>
            <w:r>
              <w:rPr>
                <w:b/>
                <w:color w:val="043B7A"/>
              </w:rPr>
              <w:t xml:space="preserve">Quotité de travail : </w:t>
            </w:r>
            <w:r w:rsidRPr="00D24DC6">
              <w:t>100%</w:t>
            </w:r>
          </w:p>
          <w:p w14:paraId="0DDF7C32" w14:textId="77777777" w:rsidR="004D41D2" w:rsidRDefault="004D41D2" w:rsidP="004D41D2">
            <w:r>
              <w:rPr>
                <w:b/>
                <w:color w:val="043B7A"/>
              </w:rPr>
              <w:t xml:space="preserve">Fonction d’encadrement : </w:t>
            </w:r>
            <w:r>
              <w:t>Oui</w:t>
            </w:r>
          </w:p>
          <w:p w14:paraId="51AC3D7D" w14:textId="77777777" w:rsidR="004D41D2" w:rsidRPr="00D41C09" w:rsidRDefault="004D41D2" w:rsidP="004D41D2">
            <w:pPr>
              <w:rPr>
                <w:b/>
                <w:color w:val="043B7A"/>
              </w:rPr>
            </w:pPr>
            <w:r w:rsidRPr="00D41C09">
              <w:rPr>
                <w:b/>
                <w:color w:val="043B7A"/>
              </w:rPr>
              <w:t xml:space="preserve">NBI fonction : </w:t>
            </w:r>
            <w:r w:rsidRPr="000D2649">
              <w:t>Oui</w:t>
            </w:r>
          </w:p>
          <w:p w14:paraId="57BFCE82" w14:textId="77777777" w:rsidR="004D41D2" w:rsidRPr="00D41C09" w:rsidRDefault="004D41D2" w:rsidP="004D41D2">
            <w:pPr>
              <w:rPr>
                <w:b/>
                <w:color w:val="043B7A"/>
              </w:rPr>
            </w:pPr>
            <w:r w:rsidRPr="00D41C09">
              <w:rPr>
                <w:b/>
                <w:color w:val="043B7A"/>
              </w:rPr>
              <w:t xml:space="preserve">NBI QPV : </w:t>
            </w:r>
          </w:p>
          <w:p w14:paraId="746232DB" w14:textId="77777777" w:rsidR="004D41D2" w:rsidRDefault="004D41D2" w:rsidP="004D41D2">
            <w:pPr>
              <w:rPr>
                <w:b/>
                <w:color w:val="043B7A"/>
              </w:rPr>
            </w:pPr>
            <w:r>
              <w:rPr>
                <w:b/>
                <w:color w:val="043B7A"/>
              </w:rPr>
              <w:t>Date de fin de dépôt :</w:t>
            </w:r>
          </w:p>
          <w:p w14:paraId="7645EF65" w14:textId="77777777" w:rsidR="004D41D2" w:rsidRDefault="004D41D2" w:rsidP="004D41D2">
            <w:pPr>
              <w:jc w:val="center"/>
              <w:rPr>
                <w:b/>
                <w:color w:val="043B7A"/>
              </w:rPr>
            </w:pPr>
          </w:p>
        </w:tc>
      </w:tr>
    </w:tbl>
    <w:p w14:paraId="7C8D2DDB" w14:textId="77777777" w:rsidR="00AE6E41" w:rsidRDefault="00D41C09" w:rsidP="0065557E">
      <w:pPr>
        <w:spacing w:after="0"/>
        <w:jc w:val="center"/>
        <w:rPr>
          <w:b/>
          <w:color w:val="043B7A"/>
        </w:rPr>
      </w:pPr>
      <w:r>
        <w:rPr>
          <w:noProof/>
          <w:color w:val="043B7A"/>
        </w:rPr>
        <w:drawing>
          <wp:inline distT="0" distB="0" distL="0" distR="0" wp14:anchorId="14689CA0" wp14:editId="0C4D6A63">
            <wp:extent cx="2616015" cy="1249278"/>
            <wp:effectExtent l="0" t="0" r="0" b="8255"/>
            <wp:docPr id="4" name="Image 4" descr="C:\Users\myaissa\AppData\Local\Microsoft\Windows\INetCache\Content.MSO\557AD9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aissa\AppData\Local\Microsoft\Windows\INetCache\Content.MSO\557AD9D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5555" cy="1253834"/>
                    </a:xfrm>
                    <a:prstGeom prst="rect">
                      <a:avLst/>
                    </a:prstGeom>
                    <a:noFill/>
                    <a:ln>
                      <a:noFill/>
                    </a:ln>
                  </pic:spPr>
                </pic:pic>
              </a:graphicData>
            </a:graphic>
          </wp:inline>
        </w:drawing>
      </w:r>
    </w:p>
    <w:p w14:paraId="4F252EBB" w14:textId="77777777" w:rsidR="00746D83" w:rsidRPr="00746D83" w:rsidRDefault="00746D83" w:rsidP="00746D83">
      <w:pPr>
        <w:spacing w:after="0"/>
        <w:rPr>
          <w:b/>
        </w:rPr>
      </w:pPr>
    </w:p>
    <w:p w14:paraId="607EA5A8" w14:textId="77777777" w:rsidR="00503ACA" w:rsidRPr="00503ACA" w:rsidRDefault="00503ACA" w:rsidP="00347ACB">
      <w:pPr>
        <w:rPr>
          <w:b/>
          <w:color w:val="043B7A"/>
        </w:rPr>
      </w:pPr>
      <w:r>
        <w:rPr>
          <w:b/>
          <w:color w:val="043B7A"/>
        </w:rPr>
        <w:t>R</w:t>
      </w:r>
      <w:r w:rsidR="00746D83">
        <w:rPr>
          <w:b/>
          <w:color w:val="043B7A"/>
        </w:rPr>
        <w:t xml:space="preserve">ejoignez un territoire aux défis nombreux </w:t>
      </w:r>
    </w:p>
    <w:p w14:paraId="75A6032E" w14:textId="77777777" w:rsidR="00D24DC6" w:rsidRDefault="00680431" w:rsidP="00347ACB">
      <w:r>
        <w:t xml:space="preserve">En tant que </w:t>
      </w:r>
      <w:r w:rsidR="00F2249D" w:rsidRPr="00F2249D">
        <w:rPr>
          <w:b/>
        </w:rPr>
        <w:t>premier</w:t>
      </w:r>
      <w:r w:rsidRPr="00F2249D">
        <w:rPr>
          <w:b/>
        </w:rPr>
        <w:t xml:space="preserve"> employeur public du territoire</w:t>
      </w:r>
      <w:r>
        <w:t xml:space="preserve">, le Département de la Seine- Saint Denis </w:t>
      </w:r>
      <w:r w:rsidR="00F2249D">
        <w:t>(8000 agents) est un acteur majeur de la petite enfance, du social, de l’aménagement, de l’éduction et de la culture. </w:t>
      </w:r>
      <w:r>
        <w:t xml:space="preserve"> </w:t>
      </w:r>
    </w:p>
    <w:p w14:paraId="7CD50427" w14:textId="77777777" w:rsidR="00F2249D" w:rsidRDefault="00F2249D" w:rsidP="00347ACB">
      <w:r w:rsidRPr="00F2249D">
        <w:rPr>
          <w:b/>
        </w:rPr>
        <w:t>Employeur responsable,</w:t>
      </w:r>
      <w:r>
        <w:t xml:space="preserve"> notre politique de recrutement reflète principalement la richesse et la diversité de notre territoire. Nous sommes ainsi fiers d’être la première Collectivité à avoir été doublement labellisée : Diversité et Egalité Femme / Homme. </w:t>
      </w:r>
    </w:p>
    <w:p w14:paraId="130D4388" w14:textId="77777777" w:rsidR="0041044A" w:rsidRDefault="00CB312F" w:rsidP="00CB312F">
      <w:pPr>
        <w:jc w:val="both"/>
      </w:pPr>
      <w:r w:rsidRPr="00CB312F">
        <w:t xml:space="preserve">Dotée d’un budget de </w:t>
      </w:r>
      <w:r w:rsidR="00520090">
        <w:t>73.5</w:t>
      </w:r>
      <w:r w:rsidR="00520090" w:rsidRPr="00CB312F">
        <w:t>M€</w:t>
      </w:r>
      <w:r w:rsidR="00520090">
        <w:t xml:space="preserve"> (28 en fonctionnement, 45.5 en investissement) </w:t>
      </w:r>
      <w:r>
        <w:t xml:space="preserve">pour </w:t>
      </w:r>
      <w:r w:rsidRPr="00987848">
        <w:t>202</w:t>
      </w:r>
      <w:r w:rsidR="00AF00E7" w:rsidRPr="00987848">
        <w:t>4</w:t>
      </w:r>
      <w:r w:rsidR="00987848" w:rsidRPr="00987848">
        <w:t xml:space="preserve">, </w:t>
      </w:r>
      <w:r w:rsidRPr="00CB312F">
        <w:rPr>
          <w:b/>
        </w:rPr>
        <w:t>la</w:t>
      </w:r>
      <w:r w:rsidR="00AE6E41" w:rsidRPr="00AE6E41">
        <w:rPr>
          <w:b/>
        </w:rPr>
        <w:t xml:space="preserve"> direction des Bâtiments et de la Logistique (DBL) </w:t>
      </w:r>
      <w:r w:rsidR="00AE6E41">
        <w:t xml:space="preserve">compte 300 agents et est composée de 6 services dont le </w:t>
      </w:r>
      <w:r>
        <w:t xml:space="preserve">Service Affaires Générales (SAG). Ce service intervient en support de la direction et de ses services répartis sur 3 bureaux : </w:t>
      </w:r>
    </w:p>
    <w:p w14:paraId="7EE47984" w14:textId="77777777" w:rsidR="00CB312F" w:rsidRDefault="00CB312F" w:rsidP="00CB312F">
      <w:pPr>
        <w:pStyle w:val="Paragraphedeliste"/>
        <w:numPr>
          <w:ilvl w:val="0"/>
          <w:numId w:val="9"/>
        </w:numPr>
        <w:jc w:val="both"/>
      </w:pPr>
      <w:r w:rsidRPr="009B5A2B">
        <w:rPr>
          <w:b/>
        </w:rPr>
        <w:t>Bureau de la Commande publique, du partenariat et du budget</w:t>
      </w:r>
      <w:r w:rsidR="009B5A2B" w:rsidRPr="009B5A2B">
        <w:rPr>
          <w:b/>
        </w:rPr>
        <w:t> :</w:t>
      </w:r>
      <w:r w:rsidR="009B5A2B">
        <w:t xml:space="preserve"> </w:t>
      </w:r>
      <w:r w:rsidR="000D2649">
        <w:t>composé de deux secteurs (commande publiques/partenariat</w:t>
      </w:r>
      <w:r w:rsidR="005B521F">
        <w:t>s</w:t>
      </w:r>
      <w:r w:rsidR="000D2649">
        <w:t xml:space="preserve"> et budget), le bureau </w:t>
      </w:r>
      <w:r w:rsidR="009B5A2B">
        <w:t>s’occupe essentiellement de la politique d’achat et budgétaire de la direction.</w:t>
      </w:r>
    </w:p>
    <w:p w14:paraId="1E16B73D" w14:textId="77777777" w:rsidR="00CB312F" w:rsidRDefault="00CB312F" w:rsidP="00CB312F">
      <w:pPr>
        <w:pStyle w:val="Paragraphedeliste"/>
        <w:numPr>
          <w:ilvl w:val="0"/>
          <w:numId w:val="9"/>
        </w:numPr>
        <w:jc w:val="both"/>
      </w:pPr>
      <w:r w:rsidRPr="009B5A2B">
        <w:rPr>
          <w:b/>
        </w:rPr>
        <w:t>Bureau des Ressources humaines et administratif</w:t>
      </w:r>
      <w:r w:rsidR="009B5A2B">
        <w:t xml:space="preserve"> : </w:t>
      </w:r>
      <w:r w:rsidR="00015E38">
        <w:t>mettre en œuvre une stratégie de recrutements, construire un plan de fidélisation des agents et de développement des compétences spécifiques aux enjeux et objectifs de la direction.</w:t>
      </w:r>
      <w:r w:rsidR="009B5A2B">
        <w:t xml:space="preserve"> </w:t>
      </w:r>
    </w:p>
    <w:p w14:paraId="6880636B" w14:textId="77777777" w:rsidR="00CB312F" w:rsidRDefault="009B5A2B" w:rsidP="00CB312F">
      <w:pPr>
        <w:pStyle w:val="Paragraphedeliste"/>
        <w:numPr>
          <w:ilvl w:val="0"/>
          <w:numId w:val="9"/>
        </w:numPr>
        <w:jc w:val="both"/>
      </w:pPr>
      <w:r w:rsidRPr="009B5A2B">
        <w:rPr>
          <w:b/>
        </w:rPr>
        <w:t>Bureau des Systèmes d’information :</w:t>
      </w:r>
      <w:r>
        <w:t xml:space="preserve"> apporte ses compétences techniques auprès des services opérationnels en développant une offre de qualité dans les domaines informatique et systèmes d’information. </w:t>
      </w:r>
    </w:p>
    <w:p w14:paraId="2072EBEC" w14:textId="0C67ED01" w:rsidR="00C237BE" w:rsidRPr="0041044A" w:rsidRDefault="0041044A" w:rsidP="0041044A">
      <w:pPr>
        <w:jc w:val="both"/>
      </w:pPr>
      <w:r>
        <w:t>Dans</w:t>
      </w:r>
      <w:r w:rsidR="000D2649">
        <w:t xml:space="preserve"> le cadre d’une création de poste</w:t>
      </w:r>
      <w:r>
        <w:t xml:space="preserve">, le </w:t>
      </w:r>
      <w:r w:rsidR="00954F1E">
        <w:t xml:space="preserve">bureau de la commande publique, du partenariat et du budget recrute </w:t>
      </w:r>
      <w:r w:rsidR="00015E38">
        <w:t xml:space="preserve">son/sa </w:t>
      </w:r>
      <w:proofErr w:type="spellStart"/>
      <w:proofErr w:type="gramStart"/>
      <w:r w:rsidR="00015E38">
        <w:t>futur.e</w:t>
      </w:r>
      <w:proofErr w:type="spellEnd"/>
      <w:proofErr w:type="gramEnd"/>
      <w:r w:rsidR="00015E38">
        <w:t xml:space="preserve"> </w:t>
      </w:r>
      <w:proofErr w:type="spellStart"/>
      <w:r w:rsidR="000D2649" w:rsidRPr="000D2649">
        <w:rPr>
          <w:b/>
        </w:rPr>
        <w:t>Chef</w:t>
      </w:r>
      <w:r w:rsidR="000D2649">
        <w:rPr>
          <w:b/>
        </w:rPr>
        <w:t>.fe</w:t>
      </w:r>
      <w:proofErr w:type="spellEnd"/>
      <w:r w:rsidR="000D2649">
        <w:rPr>
          <w:b/>
        </w:rPr>
        <w:t xml:space="preserve"> de secteur </w:t>
      </w:r>
      <w:r w:rsidR="00A22824">
        <w:rPr>
          <w:b/>
        </w:rPr>
        <w:t>B</w:t>
      </w:r>
      <w:r w:rsidR="000D2649">
        <w:rPr>
          <w:b/>
        </w:rPr>
        <w:t xml:space="preserve">udget. </w:t>
      </w:r>
      <w:r w:rsidR="00D0576C">
        <w:rPr>
          <w:b/>
        </w:rPr>
        <w:t xml:space="preserve"> </w:t>
      </w:r>
      <w:r w:rsidR="00015E38" w:rsidRPr="00015E38">
        <w:rPr>
          <w:b/>
        </w:rPr>
        <w:t xml:space="preserve"> </w:t>
      </w:r>
    </w:p>
    <w:p w14:paraId="73D16D5C" w14:textId="77777777" w:rsidR="00746D83" w:rsidRDefault="00746D83" w:rsidP="00503ACA">
      <w:pPr>
        <w:spacing w:after="0"/>
        <w:jc w:val="center"/>
        <w:rPr>
          <w:b/>
          <w:color w:val="043B7A"/>
        </w:rPr>
      </w:pPr>
    </w:p>
    <w:p w14:paraId="445D5E34" w14:textId="77777777" w:rsidR="00C237BE" w:rsidRDefault="00746D83" w:rsidP="00746D83">
      <w:pPr>
        <w:spacing w:after="0"/>
        <w:rPr>
          <w:b/>
          <w:color w:val="043B7A"/>
          <w:u w:val="single"/>
        </w:rPr>
      </w:pPr>
      <w:r w:rsidRPr="00746D83">
        <w:rPr>
          <w:b/>
          <w:color w:val="043B7A"/>
          <w:u w:val="single"/>
        </w:rPr>
        <w:t xml:space="preserve">Raison d’être du poste : </w:t>
      </w:r>
    </w:p>
    <w:p w14:paraId="4CF3CD6D" w14:textId="77777777" w:rsidR="00D41C09" w:rsidRDefault="00D41C09" w:rsidP="00746D83">
      <w:pPr>
        <w:spacing w:after="0"/>
        <w:rPr>
          <w:b/>
          <w:color w:val="043B7A"/>
          <w:u w:val="single"/>
        </w:rPr>
      </w:pPr>
    </w:p>
    <w:p w14:paraId="401CB4F3" w14:textId="77777777" w:rsidR="000D2649" w:rsidRPr="00E156EB" w:rsidRDefault="000D2649" w:rsidP="000D2649">
      <w:pPr>
        <w:rPr>
          <w:rFonts w:ascii="Calibri" w:hAnsi="Calibri" w:cs="Calibri"/>
        </w:rPr>
      </w:pPr>
      <w:r w:rsidRPr="00E156EB">
        <w:rPr>
          <w:rFonts w:ascii="Calibri" w:hAnsi="Calibri" w:cs="Calibri"/>
        </w:rPr>
        <w:t xml:space="preserve">Le/la </w:t>
      </w:r>
      <w:r>
        <w:rPr>
          <w:rFonts w:ascii="Calibri" w:hAnsi="Calibri" w:cs="Calibri"/>
          <w:noProof/>
        </w:rPr>
        <w:t xml:space="preserve">chef.fe de secteur budget encadre l’équipe (composée de 3 agents), réalise la préparation budgétaire et participe au suivi de l’exécution, en lien avec le </w:t>
      </w:r>
      <w:r w:rsidRPr="00E156EB">
        <w:rPr>
          <w:rFonts w:ascii="Calibri" w:hAnsi="Calibri" w:cs="Calibri"/>
          <w:noProof/>
        </w:rPr>
        <w:t>tryptique (projets/budget/marchés ou conventions</w:t>
      </w:r>
      <w:r>
        <w:rPr>
          <w:rFonts w:ascii="Calibri" w:hAnsi="Calibri" w:cs="Calibri"/>
          <w:noProof/>
        </w:rPr>
        <w:t xml:space="preserve">). Elle.il assure la planification pluriannuelle et le suivi des dépenses et des recettes de la direction, en lien avec la Direction des Finances (DirFi). </w:t>
      </w:r>
    </w:p>
    <w:p w14:paraId="2856ACC4" w14:textId="77777777" w:rsidR="0065557E" w:rsidRPr="0065557E" w:rsidRDefault="0065557E" w:rsidP="0065557E">
      <w:pPr>
        <w:spacing w:after="0"/>
      </w:pPr>
    </w:p>
    <w:p w14:paraId="202E908E" w14:textId="77777777" w:rsidR="00746D83" w:rsidRDefault="00746D83" w:rsidP="00C237BE">
      <w:pPr>
        <w:jc w:val="both"/>
        <w:rPr>
          <w:b/>
          <w:color w:val="043B7A"/>
          <w:u w:val="single"/>
        </w:rPr>
      </w:pPr>
      <w:r w:rsidRPr="00746D83">
        <w:rPr>
          <w:b/>
          <w:color w:val="043B7A"/>
          <w:u w:val="single"/>
        </w:rPr>
        <w:t xml:space="preserve">Missions principales : </w:t>
      </w:r>
    </w:p>
    <w:p w14:paraId="356C57A7" w14:textId="77777777" w:rsidR="000D2649" w:rsidRDefault="000D2649" w:rsidP="000D2649">
      <w:pPr>
        <w:numPr>
          <w:ilvl w:val="0"/>
          <w:numId w:val="11"/>
        </w:numPr>
        <w:spacing w:before="120" w:after="120" w:line="240" w:lineRule="auto"/>
        <w:ind w:right="50"/>
        <w:jc w:val="both"/>
        <w:rPr>
          <w:rFonts w:ascii="Calibri" w:hAnsi="Calibri" w:cs="Calibri"/>
        </w:rPr>
      </w:pPr>
      <w:r w:rsidRPr="000D2649">
        <w:rPr>
          <w:rFonts w:ascii="Calibri" w:hAnsi="Calibri" w:cs="Calibri"/>
          <w:b/>
          <w:noProof/>
        </w:rPr>
        <w:lastRenderedPageBreak/>
        <w:t>Encadrer l’équipe, organiser et suivre le travail</w:t>
      </w:r>
      <w:r w:rsidRPr="00290D42">
        <w:rPr>
          <w:rFonts w:ascii="Calibri" w:hAnsi="Calibri" w:cs="Calibri"/>
          <w:noProof/>
        </w:rPr>
        <w:t xml:space="preserve"> du </w:t>
      </w:r>
      <w:r>
        <w:rPr>
          <w:rFonts w:ascii="Calibri" w:hAnsi="Calibri" w:cs="Calibri"/>
          <w:noProof/>
        </w:rPr>
        <w:t>secteur</w:t>
      </w:r>
      <w:r w:rsidRPr="00290D42">
        <w:rPr>
          <w:rFonts w:ascii="Calibri" w:hAnsi="Calibri" w:cs="Calibri"/>
          <w:noProof/>
        </w:rPr>
        <w:t xml:space="preserve"> « </w:t>
      </w:r>
      <w:r>
        <w:rPr>
          <w:rFonts w:ascii="Calibri" w:hAnsi="Calibri" w:cs="Calibri"/>
          <w:noProof/>
        </w:rPr>
        <w:t>budget</w:t>
      </w:r>
      <w:r w:rsidRPr="00290D42">
        <w:rPr>
          <w:rFonts w:ascii="Calibri" w:hAnsi="Calibri" w:cs="Calibri"/>
          <w:noProof/>
        </w:rPr>
        <w:t xml:space="preserve"> »</w:t>
      </w:r>
      <w:r>
        <w:rPr>
          <w:rFonts w:ascii="Calibri" w:hAnsi="Calibri" w:cs="Calibri"/>
          <w:noProof/>
        </w:rPr>
        <w:t> ;</w:t>
      </w:r>
    </w:p>
    <w:p w14:paraId="186B60C3" w14:textId="77777777" w:rsidR="0032663F" w:rsidRPr="0032663F" w:rsidRDefault="0032663F" w:rsidP="0032663F">
      <w:pPr>
        <w:pStyle w:val="Paragraphedeliste"/>
        <w:jc w:val="both"/>
        <w:rPr>
          <w:color w:val="043B7A"/>
        </w:rPr>
      </w:pPr>
    </w:p>
    <w:p w14:paraId="6A6BCA11" w14:textId="77777777" w:rsidR="000D2649" w:rsidRPr="00E156EB" w:rsidRDefault="000D2649" w:rsidP="000D2649">
      <w:pPr>
        <w:numPr>
          <w:ilvl w:val="0"/>
          <w:numId w:val="12"/>
        </w:numPr>
        <w:spacing w:before="120" w:after="120" w:line="240" w:lineRule="auto"/>
        <w:ind w:right="50"/>
        <w:jc w:val="both"/>
        <w:rPr>
          <w:rFonts w:ascii="Calibri" w:hAnsi="Calibri" w:cs="Calibri"/>
        </w:rPr>
      </w:pPr>
      <w:r w:rsidRPr="000D2649">
        <w:rPr>
          <w:rFonts w:ascii="Calibri" w:hAnsi="Calibri" w:cs="Calibri"/>
          <w:b/>
          <w:noProof/>
        </w:rPr>
        <w:t xml:space="preserve">Assurer le rôle d’expert et de conseil </w:t>
      </w:r>
      <w:r w:rsidRPr="00E156EB">
        <w:rPr>
          <w:rFonts w:ascii="Calibri" w:hAnsi="Calibri" w:cs="Calibri"/>
          <w:noProof/>
        </w:rPr>
        <w:t xml:space="preserve">auprès des services/équipes en matière </w:t>
      </w:r>
      <w:r>
        <w:rPr>
          <w:rFonts w:ascii="Calibri" w:hAnsi="Calibri" w:cs="Calibri"/>
          <w:noProof/>
        </w:rPr>
        <w:t>budgétaire</w:t>
      </w:r>
      <w:r w:rsidRPr="00E156EB">
        <w:rPr>
          <w:rFonts w:ascii="Calibri" w:hAnsi="Calibri" w:cs="Calibri"/>
          <w:noProof/>
        </w:rPr>
        <w:t xml:space="preserve"> afin </w:t>
      </w:r>
      <w:r w:rsidRPr="00E156EB">
        <w:rPr>
          <w:rFonts w:ascii="Calibri" w:hAnsi="Calibri" w:cs="Calibri"/>
        </w:rPr>
        <w:t>d’identifier les modalités et les pistes d'optimisation</w:t>
      </w:r>
      <w:r w:rsidRPr="00E156EB">
        <w:rPr>
          <w:rFonts w:ascii="Calibri" w:hAnsi="Calibri" w:cs="Calibri"/>
          <w:noProof/>
        </w:rPr>
        <w:t xml:space="preserve"> et de sécurisation </w:t>
      </w:r>
      <w:r w:rsidRPr="00E156EB">
        <w:rPr>
          <w:rFonts w:ascii="Calibri" w:hAnsi="Calibri" w:cs="Calibri"/>
        </w:rPr>
        <w:t>dans une logique de démarche usagers</w:t>
      </w:r>
      <w:r>
        <w:rPr>
          <w:rFonts w:ascii="Calibri" w:hAnsi="Calibri" w:cs="Calibri"/>
        </w:rPr>
        <w:t xml:space="preserve"> ; </w:t>
      </w:r>
    </w:p>
    <w:p w14:paraId="4433D4FA" w14:textId="77777777" w:rsidR="00D0576C" w:rsidRPr="00D0576C" w:rsidRDefault="00D0576C" w:rsidP="00D0576C">
      <w:pPr>
        <w:pStyle w:val="Paragraphedeliste"/>
        <w:rPr>
          <w:color w:val="043B7A"/>
        </w:rPr>
      </w:pPr>
    </w:p>
    <w:p w14:paraId="137E5CC1" w14:textId="77777777" w:rsidR="000D2649" w:rsidRPr="0017003E" w:rsidRDefault="000D2649" w:rsidP="000D2649">
      <w:pPr>
        <w:numPr>
          <w:ilvl w:val="0"/>
          <w:numId w:val="13"/>
        </w:numPr>
        <w:spacing w:before="120" w:after="0" w:line="240" w:lineRule="auto"/>
        <w:jc w:val="both"/>
        <w:rPr>
          <w:rFonts w:ascii="Calibri" w:hAnsi="Calibri" w:cs="Calibri"/>
        </w:rPr>
      </w:pPr>
      <w:r w:rsidRPr="000D2649">
        <w:rPr>
          <w:rFonts w:ascii="Calibri" w:hAnsi="Calibri" w:cs="Calibri"/>
          <w:b/>
        </w:rPr>
        <w:t>Développer et suivre des outils de pilotage pluriannuels</w:t>
      </w:r>
      <w:r w:rsidRPr="0017003E">
        <w:rPr>
          <w:rFonts w:ascii="Calibri" w:hAnsi="Calibri" w:cs="Calibri"/>
        </w:rPr>
        <w:t xml:space="preserve"> en matière budgétaire, </w:t>
      </w:r>
      <w:r w:rsidRPr="0017003E">
        <w:rPr>
          <w:rFonts w:ascii="Calibri" w:hAnsi="Calibri" w:cs="Calibri"/>
          <w:noProof/>
        </w:rPr>
        <w:t xml:space="preserve">des outils consolidés de reporting, d’analyse, d’alerte et d’aide à la décision (suivi des engagements non soldés, montant des autorisations de programmes en lien avec les crédits de paiement, etc.), </w:t>
      </w:r>
      <w:r w:rsidRPr="0017003E">
        <w:rPr>
          <w:rFonts w:ascii="Calibri" w:hAnsi="Calibri" w:cs="Calibri"/>
        </w:rPr>
        <w:t>analyser les écarts (prévisionnel/réalisé) et proposer un plan d’actions pour optimiser la gestion du budget, en lien avec le secteur commande publique et partenariats</w:t>
      </w:r>
      <w:r>
        <w:rPr>
          <w:rFonts w:ascii="Calibri" w:hAnsi="Calibri" w:cs="Calibri"/>
        </w:rPr>
        <w:t xml:space="preserve"> ; </w:t>
      </w:r>
    </w:p>
    <w:p w14:paraId="71B91B19" w14:textId="77777777" w:rsidR="00D0576C" w:rsidRPr="00D0576C" w:rsidRDefault="00D0576C" w:rsidP="00D0576C">
      <w:pPr>
        <w:pStyle w:val="Paragraphedeliste"/>
        <w:rPr>
          <w:color w:val="043B7A"/>
        </w:rPr>
      </w:pPr>
    </w:p>
    <w:p w14:paraId="655176C1" w14:textId="77777777" w:rsidR="005B521F" w:rsidRDefault="000D2649" w:rsidP="005B521F">
      <w:pPr>
        <w:pStyle w:val="Paragraphedeliste"/>
        <w:numPr>
          <w:ilvl w:val="0"/>
          <w:numId w:val="13"/>
        </w:numPr>
      </w:pPr>
      <w:r w:rsidRPr="005B521F">
        <w:rPr>
          <w:rFonts w:ascii="Calibri" w:hAnsi="Calibri" w:cs="Calibri"/>
          <w:b/>
        </w:rPr>
        <w:t>Réaliser les différentes phases de préparation et de suivi budgétaire</w:t>
      </w:r>
      <w:r w:rsidRPr="00CC665A">
        <w:rPr>
          <w:rFonts w:ascii="Calibri" w:hAnsi="Calibri" w:cs="Calibri"/>
        </w:rPr>
        <w:t xml:space="preserve"> en lien avec les services et </w:t>
      </w:r>
      <w:r w:rsidR="005B521F">
        <w:rPr>
          <w:rFonts w:ascii="Calibri" w:hAnsi="Calibri" w:cs="Calibri"/>
        </w:rPr>
        <w:t xml:space="preserve">la </w:t>
      </w:r>
      <w:proofErr w:type="spellStart"/>
      <w:r w:rsidRPr="00CC665A">
        <w:rPr>
          <w:rFonts w:ascii="Calibri" w:hAnsi="Calibri" w:cs="Calibri"/>
        </w:rPr>
        <w:t>Dirf</w:t>
      </w:r>
      <w:r>
        <w:rPr>
          <w:rFonts w:ascii="Calibri" w:hAnsi="Calibri" w:cs="Calibri"/>
        </w:rPr>
        <w:t>i</w:t>
      </w:r>
      <w:proofErr w:type="spellEnd"/>
      <w:r>
        <w:rPr>
          <w:rFonts w:ascii="Calibri" w:hAnsi="Calibri" w:cs="Calibri"/>
        </w:rPr>
        <w:t> :</w:t>
      </w:r>
      <w:r w:rsidRPr="00CC665A">
        <w:rPr>
          <w:rFonts w:ascii="Calibri" w:hAnsi="Calibri" w:cs="Calibri"/>
        </w:rPr>
        <w:t xml:space="preserve"> accompagner et mettre en œuvre les choix de la programmation pluriannuelle de fonctionnement et d’investissement, au plus près de la gestion des services, pour garantir le suivi des arbitrages budgétaires, suivre les dossiers en lien avec la </w:t>
      </w:r>
      <w:proofErr w:type="spellStart"/>
      <w:r w:rsidRPr="00CC665A">
        <w:rPr>
          <w:rFonts w:ascii="Calibri" w:hAnsi="Calibri" w:cs="Calibri"/>
        </w:rPr>
        <w:t>Dirfi</w:t>
      </w:r>
      <w:proofErr w:type="spellEnd"/>
      <w:r w:rsidRPr="00CC665A">
        <w:rPr>
          <w:rFonts w:ascii="Calibri" w:hAnsi="Calibri" w:cs="Calibri"/>
        </w:rPr>
        <w:t xml:space="preserve"> (suivis de gestion, élaboration d’ordre du jour, de compte-rendu, de notes, de tableaux de bord, documents administratifs de cadrage, présentation, animation de groupes de travail, etc.) et élaborer les procédures, en lien avec les </w:t>
      </w:r>
      <w:proofErr w:type="spellStart"/>
      <w:r w:rsidRPr="00CC665A">
        <w:rPr>
          <w:rFonts w:ascii="Calibri" w:hAnsi="Calibri" w:cs="Calibri"/>
        </w:rPr>
        <w:t>assistant</w:t>
      </w:r>
      <w:r>
        <w:rPr>
          <w:rFonts w:ascii="Calibri" w:hAnsi="Calibri" w:cs="Calibri"/>
        </w:rPr>
        <w:t>.e.s</w:t>
      </w:r>
      <w:proofErr w:type="spellEnd"/>
      <w:r>
        <w:rPr>
          <w:rFonts w:ascii="Calibri" w:hAnsi="Calibri" w:cs="Calibri"/>
        </w:rPr>
        <w:t xml:space="preserve"> budgétaires ; </w:t>
      </w:r>
    </w:p>
    <w:p w14:paraId="0145C0E1" w14:textId="77777777" w:rsidR="005B521F" w:rsidRDefault="005B521F" w:rsidP="005B521F">
      <w:pPr>
        <w:pStyle w:val="Paragraphedeliste"/>
      </w:pPr>
    </w:p>
    <w:p w14:paraId="6C052764" w14:textId="77777777" w:rsidR="005B521F" w:rsidRPr="005B521F" w:rsidRDefault="005B521F" w:rsidP="005B521F">
      <w:pPr>
        <w:pStyle w:val="Paragraphedeliste"/>
        <w:numPr>
          <w:ilvl w:val="0"/>
          <w:numId w:val="13"/>
        </w:numPr>
        <w:spacing w:before="120" w:after="120" w:line="240" w:lineRule="auto"/>
        <w:ind w:right="50"/>
        <w:jc w:val="both"/>
        <w:rPr>
          <w:rFonts w:ascii="Calibri" w:hAnsi="Calibri" w:cs="Calibri"/>
        </w:rPr>
      </w:pPr>
      <w:r w:rsidRPr="005B521F">
        <w:rPr>
          <w:rFonts w:ascii="Calibri" w:hAnsi="Calibri" w:cs="Calibri"/>
          <w:b/>
        </w:rPr>
        <w:t xml:space="preserve">En partenariat avec </w:t>
      </w:r>
      <w:proofErr w:type="spellStart"/>
      <w:proofErr w:type="gramStart"/>
      <w:r w:rsidRPr="005B521F">
        <w:rPr>
          <w:rFonts w:ascii="Calibri" w:hAnsi="Calibri" w:cs="Calibri"/>
          <w:b/>
        </w:rPr>
        <w:t>l</w:t>
      </w:r>
      <w:r>
        <w:rPr>
          <w:rFonts w:ascii="Calibri" w:hAnsi="Calibri" w:cs="Calibri"/>
          <w:b/>
        </w:rPr>
        <w:t>e</w:t>
      </w:r>
      <w:r w:rsidRPr="005B521F">
        <w:rPr>
          <w:rFonts w:ascii="Calibri" w:hAnsi="Calibri" w:cs="Calibri"/>
          <w:b/>
        </w:rPr>
        <w:t>.</w:t>
      </w:r>
      <w:r>
        <w:rPr>
          <w:rFonts w:ascii="Calibri" w:hAnsi="Calibri" w:cs="Calibri"/>
          <w:b/>
        </w:rPr>
        <w:t>a</w:t>
      </w:r>
      <w:proofErr w:type="spellEnd"/>
      <w:proofErr w:type="gramEnd"/>
      <w:r w:rsidRPr="005B521F">
        <w:rPr>
          <w:rFonts w:ascii="Calibri" w:hAnsi="Calibri" w:cs="Calibri"/>
          <w:b/>
        </w:rPr>
        <w:t xml:space="preserve"> </w:t>
      </w:r>
      <w:proofErr w:type="spellStart"/>
      <w:r w:rsidRPr="005B521F">
        <w:rPr>
          <w:rFonts w:ascii="Calibri" w:hAnsi="Calibri" w:cs="Calibri"/>
          <w:b/>
        </w:rPr>
        <w:t>chef.fe</w:t>
      </w:r>
      <w:proofErr w:type="spellEnd"/>
      <w:r w:rsidRPr="005B521F">
        <w:rPr>
          <w:rFonts w:ascii="Calibri" w:hAnsi="Calibri" w:cs="Calibri"/>
          <w:b/>
        </w:rPr>
        <w:t xml:space="preserve"> de secteur commande publique et partenariats</w:t>
      </w:r>
      <w:r w:rsidRPr="005B521F">
        <w:rPr>
          <w:rFonts w:ascii="Calibri" w:hAnsi="Calibri" w:cs="Calibri"/>
        </w:rPr>
        <w:t>, mettre en place un dispositif d’évaluation des fournisseurs et assurer le suivi pour la partie analyse des dépenses et de recettes</w:t>
      </w:r>
    </w:p>
    <w:p w14:paraId="1CC51540" w14:textId="77777777" w:rsidR="00D0576C" w:rsidRDefault="00D0576C" w:rsidP="00D0576C">
      <w:pPr>
        <w:pStyle w:val="Paragraphedeliste"/>
      </w:pPr>
    </w:p>
    <w:p w14:paraId="4FCD093F" w14:textId="77777777" w:rsidR="005B521F" w:rsidRPr="005B521F" w:rsidRDefault="005B521F" w:rsidP="005B521F">
      <w:pPr>
        <w:numPr>
          <w:ilvl w:val="0"/>
          <w:numId w:val="14"/>
        </w:numPr>
        <w:spacing w:before="120" w:after="120" w:line="240" w:lineRule="auto"/>
        <w:ind w:right="50"/>
        <w:jc w:val="both"/>
        <w:rPr>
          <w:rFonts w:ascii="Calibri" w:hAnsi="Calibri" w:cs="Calibri"/>
        </w:rPr>
      </w:pPr>
      <w:r w:rsidRPr="005B521F">
        <w:rPr>
          <w:rFonts w:ascii="Calibri" w:hAnsi="Calibri" w:cs="Calibri"/>
          <w:b/>
        </w:rPr>
        <w:t>Concevoir et animer une démarche de sensibilisation</w:t>
      </w:r>
      <w:r w:rsidRPr="005B521F">
        <w:rPr>
          <w:rFonts w:ascii="Calibri" w:hAnsi="Calibri" w:cs="Calibri"/>
          <w:b/>
          <w:shd w:val="clear" w:color="auto" w:fill="FFFFFF"/>
        </w:rPr>
        <w:t>/communications</w:t>
      </w:r>
      <w:r w:rsidRPr="0017003E">
        <w:rPr>
          <w:rFonts w:ascii="Calibri" w:hAnsi="Calibri" w:cs="Calibri"/>
          <w:shd w:val="clear" w:color="auto" w:fill="FFFFFF"/>
        </w:rPr>
        <w:t xml:space="preserve"> aux agents et aux encadrants sur les règles </w:t>
      </w:r>
      <w:r w:rsidRPr="00CC665A">
        <w:rPr>
          <w:rFonts w:ascii="Calibri" w:hAnsi="Calibri" w:cs="Calibri"/>
          <w:shd w:val="clear" w:color="auto" w:fill="FFFFFF"/>
        </w:rPr>
        <w:t>de finances et de comptabilité publiques</w:t>
      </w:r>
      <w:r w:rsidRPr="0017003E">
        <w:rPr>
          <w:rFonts w:ascii="Calibri" w:hAnsi="Calibri" w:cs="Calibri"/>
          <w:shd w:val="clear" w:color="auto" w:fill="FFFFFF"/>
        </w:rPr>
        <w:t xml:space="preserve"> de la collectivité et de la FPT plus largement, en vue de les responsabiliser</w:t>
      </w:r>
      <w:r>
        <w:rPr>
          <w:rFonts w:ascii="Calibri" w:hAnsi="Calibri" w:cs="Calibri"/>
          <w:shd w:val="clear" w:color="auto" w:fill="FFFFFF"/>
        </w:rPr>
        <w:t>.</w:t>
      </w:r>
    </w:p>
    <w:p w14:paraId="07E89D4B" w14:textId="77777777" w:rsidR="005B521F" w:rsidRPr="0017003E" w:rsidRDefault="005B521F" w:rsidP="005B521F">
      <w:pPr>
        <w:numPr>
          <w:ilvl w:val="0"/>
          <w:numId w:val="14"/>
        </w:numPr>
        <w:spacing w:before="120" w:after="120" w:line="240" w:lineRule="auto"/>
        <w:ind w:right="50"/>
        <w:jc w:val="both"/>
        <w:rPr>
          <w:rFonts w:ascii="Calibri" w:hAnsi="Calibri" w:cs="Calibri"/>
        </w:rPr>
      </w:pPr>
      <w:r w:rsidRPr="0017003E">
        <w:rPr>
          <w:rFonts w:ascii="Calibri" w:hAnsi="Calibri" w:cs="Calibri"/>
          <w:noProof/>
        </w:rPr>
        <w:t xml:space="preserve">Faire de la veille en matière </w:t>
      </w:r>
      <w:r w:rsidRPr="00CC665A">
        <w:rPr>
          <w:rFonts w:ascii="Calibri" w:hAnsi="Calibri" w:cs="Calibri"/>
          <w:noProof/>
        </w:rPr>
        <w:t>budgétaire</w:t>
      </w:r>
      <w:r w:rsidRPr="0017003E">
        <w:rPr>
          <w:rFonts w:ascii="Calibri" w:hAnsi="Calibri" w:cs="Calibri"/>
          <w:noProof/>
        </w:rPr>
        <w:t xml:space="preserve">, faire du benchmarck sur les démarches mises en oeuvre dans d’autres institutions, </w:t>
      </w:r>
      <w:r w:rsidRPr="00CC665A">
        <w:rPr>
          <w:rFonts w:ascii="Calibri" w:hAnsi="Calibri" w:cs="Calibri"/>
          <w:noProof/>
        </w:rPr>
        <w:t>réaliser des recherches pour les recettes potentielles en lien avec les projets des services</w:t>
      </w:r>
      <w:r>
        <w:rPr>
          <w:rFonts w:ascii="Calibri" w:hAnsi="Calibri" w:cs="Calibri"/>
          <w:noProof/>
        </w:rPr>
        <w:t xml:space="preserve"> </w:t>
      </w:r>
      <w:r w:rsidRPr="0017003E">
        <w:rPr>
          <w:rFonts w:ascii="Calibri" w:hAnsi="Calibri" w:cs="Calibri"/>
        </w:rPr>
        <w:t>et accompagner les services dans le suivi des dossiers des demandes de subvention</w:t>
      </w:r>
    </w:p>
    <w:p w14:paraId="01E6ECD7" w14:textId="77777777" w:rsidR="002759A4" w:rsidRPr="002969F1" w:rsidRDefault="002759A4" w:rsidP="002969F1">
      <w:pPr>
        <w:ind w:left="360"/>
        <w:jc w:val="both"/>
        <w:rPr>
          <w:color w:val="043B7A"/>
        </w:rPr>
      </w:pPr>
      <w:r>
        <w:t xml:space="preserve">  </w:t>
      </w:r>
    </w:p>
    <w:p w14:paraId="13189620" w14:textId="77777777" w:rsidR="00E43122" w:rsidRDefault="00AC08D9" w:rsidP="00AC08D9">
      <w:pPr>
        <w:jc w:val="both"/>
        <w:rPr>
          <w:b/>
          <w:color w:val="043B7A"/>
          <w:u w:val="single"/>
        </w:rPr>
      </w:pPr>
      <w:r w:rsidRPr="00AC08D9">
        <w:rPr>
          <w:b/>
          <w:color w:val="043B7A"/>
          <w:u w:val="single"/>
        </w:rPr>
        <w:t xml:space="preserve">Profil : </w:t>
      </w:r>
    </w:p>
    <w:p w14:paraId="31440EF0" w14:textId="59061213" w:rsidR="005B521F" w:rsidRDefault="005B521F" w:rsidP="005B521F">
      <w:pPr>
        <w:jc w:val="both"/>
      </w:pPr>
      <w:r>
        <w:t>Titulaire d’un BAC+3 à BAC+5 dans le domaine de</w:t>
      </w:r>
      <w:r w:rsidR="00954F1E">
        <w:t>s finances et de</w:t>
      </w:r>
      <w:r>
        <w:t xml:space="preserve"> la comptabilité</w:t>
      </w:r>
      <w:r w:rsidR="00954F1E">
        <w:t xml:space="preserve"> publiques</w:t>
      </w:r>
      <w:r>
        <w:t>, vous justifie</w:t>
      </w:r>
      <w:bookmarkStart w:id="1" w:name="_GoBack"/>
      <w:bookmarkEnd w:id="1"/>
      <w:r>
        <w:t xml:space="preserve">z d’une première expérience professionnelle d’au moins 5 ans </w:t>
      </w:r>
      <w:r w:rsidR="00954F1E">
        <w:t>dans ce domaine d’activités</w:t>
      </w:r>
      <w:r>
        <w:t xml:space="preserve">. </w:t>
      </w:r>
    </w:p>
    <w:p w14:paraId="1AFDD858" w14:textId="77777777" w:rsidR="005B521F" w:rsidRDefault="005B521F" w:rsidP="005B521F">
      <w:pPr>
        <w:jc w:val="both"/>
      </w:pPr>
      <w:r>
        <w:t xml:space="preserve">De nature rigoureux.se, méthodique et organisée, on vous reconnait pour votre autonomie et vos qualités relationnelles envers votre équipe et vos interlocuteurs. De plus, vous montrez un fort intérêt à encadrer une équipe. </w:t>
      </w:r>
    </w:p>
    <w:p w14:paraId="17616291" w14:textId="77777777" w:rsidR="005B521F" w:rsidRDefault="005B521F" w:rsidP="005B521F">
      <w:pPr>
        <w:jc w:val="both"/>
      </w:pPr>
      <w:r>
        <w:t xml:space="preserve">Vous vous reconnaissez dans le profil recherché et les missions correspondent à vos souhaits d’évolution professionnelle ? Ne tardez plus… l’équipe n’attend plus que vous !     </w:t>
      </w:r>
    </w:p>
    <w:p w14:paraId="0E0F09CE" w14:textId="77777777" w:rsidR="005B521F" w:rsidRDefault="005B521F" w:rsidP="005B521F">
      <w:pPr>
        <w:jc w:val="both"/>
      </w:pPr>
    </w:p>
    <w:p w14:paraId="71F7CEFE" w14:textId="77777777" w:rsidR="005B521F" w:rsidRDefault="005B521F" w:rsidP="005B521F">
      <w:pPr>
        <w:jc w:val="both"/>
      </w:pPr>
    </w:p>
    <w:p w14:paraId="4ACCD817" w14:textId="77777777" w:rsidR="001B66B4" w:rsidRPr="000C655B" w:rsidRDefault="001B66B4" w:rsidP="001B66B4">
      <w:pPr>
        <w:jc w:val="both"/>
        <w:rPr>
          <w:b/>
          <w:color w:val="043B7A"/>
          <w:u w:val="single"/>
        </w:rPr>
      </w:pPr>
      <w:r w:rsidRPr="000C655B">
        <w:rPr>
          <w:b/>
          <w:color w:val="043B7A"/>
          <w:u w:val="single"/>
        </w:rPr>
        <w:lastRenderedPageBreak/>
        <w:t>Avantages</w:t>
      </w:r>
      <w:r>
        <w:rPr>
          <w:b/>
          <w:color w:val="043B7A"/>
          <w:u w:val="single"/>
        </w:rPr>
        <w:t> :</w:t>
      </w:r>
    </w:p>
    <w:p w14:paraId="2F8AC0E6" w14:textId="77777777" w:rsidR="001B66B4" w:rsidRPr="00F30FE1" w:rsidRDefault="001B66B4" w:rsidP="001B66B4">
      <w:pPr>
        <w:pStyle w:val="Paragraphedeliste"/>
        <w:numPr>
          <w:ilvl w:val="0"/>
          <w:numId w:val="5"/>
        </w:numPr>
        <w:jc w:val="both"/>
      </w:pPr>
      <w:r>
        <w:t>En plus des 25 jours de congés payés, jusqu’à 33 RTT selon le rythme de travail choisi</w:t>
      </w:r>
    </w:p>
    <w:p w14:paraId="79170986" w14:textId="77777777" w:rsidR="001B66B4" w:rsidRDefault="001B66B4" w:rsidP="001B66B4">
      <w:pPr>
        <w:pStyle w:val="Paragraphedeliste"/>
        <w:numPr>
          <w:ilvl w:val="0"/>
          <w:numId w:val="5"/>
        </w:numPr>
        <w:jc w:val="both"/>
      </w:pPr>
      <w:r>
        <w:t>Restaurants administratifs de qualité sur Bobigny ou tickets restaurants sur les autres sites, avec une participation de l’employeur</w:t>
      </w:r>
    </w:p>
    <w:p w14:paraId="03D54EF2" w14:textId="77777777" w:rsidR="001B66B4" w:rsidRDefault="00EB5846" w:rsidP="001B66B4">
      <w:pPr>
        <w:pStyle w:val="Paragraphedeliste"/>
        <w:numPr>
          <w:ilvl w:val="0"/>
          <w:numId w:val="5"/>
        </w:numPr>
        <w:jc w:val="both"/>
      </w:pPr>
      <w:r>
        <w:t>Possibilité de télétravail : 2 jours par semaine</w:t>
      </w:r>
    </w:p>
    <w:p w14:paraId="294257BB" w14:textId="77777777" w:rsidR="001B66B4" w:rsidRDefault="001B66B4" w:rsidP="001B66B4">
      <w:pPr>
        <w:pStyle w:val="Paragraphedeliste"/>
        <w:numPr>
          <w:ilvl w:val="0"/>
          <w:numId w:val="5"/>
        </w:numPr>
        <w:jc w:val="both"/>
      </w:pPr>
      <w:r>
        <w:t xml:space="preserve">Accès à conditions avantageuses à des locations de vélo à assistance électrique </w:t>
      </w:r>
    </w:p>
    <w:p w14:paraId="712C7526" w14:textId="77777777" w:rsidR="001B66B4" w:rsidRDefault="001B66B4" w:rsidP="001B66B4">
      <w:pPr>
        <w:pStyle w:val="Paragraphedeliste"/>
        <w:numPr>
          <w:ilvl w:val="0"/>
          <w:numId w:val="5"/>
        </w:numPr>
        <w:jc w:val="both"/>
      </w:pPr>
      <w:r>
        <w:t>Possibilité de mise à disposition d’une place de parking en fonction de certains critères (distance, médical, enfants en bas-âge, horaires très contraints)</w:t>
      </w:r>
    </w:p>
    <w:p w14:paraId="5197394D" w14:textId="77777777" w:rsidR="001B66B4" w:rsidRDefault="001B66B4" w:rsidP="001B66B4">
      <w:pPr>
        <w:pStyle w:val="Paragraphedeliste"/>
        <w:numPr>
          <w:ilvl w:val="0"/>
          <w:numId w:val="5"/>
        </w:numPr>
        <w:jc w:val="both"/>
      </w:pPr>
      <w:r>
        <w:t xml:space="preserve">Remboursement du titre de transport à hauteur de 50 à 70% en fonction de l’indice </w:t>
      </w:r>
    </w:p>
    <w:p w14:paraId="317E1A9C" w14:textId="77777777" w:rsidR="001B66B4" w:rsidRDefault="001B66B4" w:rsidP="001B66B4">
      <w:pPr>
        <w:pStyle w:val="Paragraphedeliste"/>
        <w:numPr>
          <w:ilvl w:val="0"/>
          <w:numId w:val="5"/>
        </w:numPr>
        <w:jc w:val="both"/>
      </w:pPr>
      <w:r>
        <w:t xml:space="preserve">Participation de l’employeur : aux frais de garde d’enfants de moins de 3 ans, aux frais de séjours des enfants (hors comité d’entreprise), à la cotisation d’une mutuelle et d’une prévoyance, ainsi qu’à l’adhésion d’une association sportive à hauteur de 35% du montant annuel et dans la limité de 100€ par agent. </w:t>
      </w:r>
    </w:p>
    <w:p w14:paraId="4DCFB221" w14:textId="77777777" w:rsidR="001B66B4" w:rsidRDefault="001B66B4" w:rsidP="001B66B4">
      <w:pPr>
        <w:jc w:val="both"/>
      </w:pPr>
      <w:r>
        <w:t xml:space="preserve">Rendez-vous sur notre site internet, rubrique « nos atouts » pour visualiser l’ensemble de nos nombreux avantages. </w:t>
      </w:r>
    </w:p>
    <w:p w14:paraId="33F18590" w14:textId="77777777" w:rsidR="00094936" w:rsidRDefault="00094936" w:rsidP="00094936">
      <w:pPr>
        <w:jc w:val="both"/>
      </w:pPr>
    </w:p>
    <w:p w14:paraId="539DBC87" w14:textId="77777777" w:rsidR="00094936" w:rsidRDefault="00094936" w:rsidP="00094936">
      <w:pPr>
        <w:jc w:val="both"/>
      </w:pPr>
    </w:p>
    <w:p w14:paraId="6556715D" w14:textId="77777777" w:rsidR="00094936" w:rsidRPr="000C655B" w:rsidRDefault="00094936" w:rsidP="00094936">
      <w:pPr>
        <w:pStyle w:val="Paragraphedeliste"/>
        <w:jc w:val="both"/>
      </w:pPr>
    </w:p>
    <w:p w14:paraId="4047F352" w14:textId="77777777" w:rsidR="00746D83" w:rsidRPr="00746D83" w:rsidRDefault="00746D83" w:rsidP="00C237BE">
      <w:pPr>
        <w:jc w:val="both"/>
        <w:rPr>
          <w:b/>
          <w:color w:val="043B7A"/>
        </w:rPr>
      </w:pPr>
    </w:p>
    <w:p w14:paraId="234E7844" w14:textId="77777777" w:rsidR="00680431" w:rsidRDefault="00680431" w:rsidP="00347ACB"/>
    <w:sectPr w:rsidR="00680431" w:rsidSect="00ED6363">
      <w:pgSz w:w="11906" w:h="16838"/>
      <w:pgMar w:top="1417" w:right="1417" w:bottom="1417" w:left="1417" w:header="708" w:footer="708" w:gutter="0"/>
      <w:pgBorders w:offsetFrom="page">
        <w:top w:val="single" w:sz="18" w:space="24" w:color="042C64"/>
        <w:left w:val="single" w:sz="18" w:space="24" w:color="042C64"/>
        <w:bottom w:val="single" w:sz="18" w:space="24" w:color="042C64"/>
        <w:right w:val="single" w:sz="18" w:space="24" w:color="042C6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1B7C"/>
    <w:multiLevelType w:val="hybridMultilevel"/>
    <w:tmpl w:val="19B2360E"/>
    <w:lvl w:ilvl="0" w:tplc="784670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55EA6"/>
    <w:multiLevelType w:val="hybridMultilevel"/>
    <w:tmpl w:val="B63C98F8"/>
    <w:lvl w:ilvl="0" w:tplc="EC4A9644">
      <w:start w:val="1"/>
      <w:numFmt w:val="bullet"/>
      <w:lvlText w:val=""/>
      <w:lvlJc w:val="left"/>
      <w:pPr>
        <w:ind w:left="720" w:hanging="360"/>
      </w:pPr>
      <w:rPr>
        <w:rFonts w:ascii="Wingdings" w:hAnsi="Wingdings" w:hint="default"/>
        <w:color w:val="043B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C0803"/>
    <w:multiLevelType w:val="hybridMultilevel"/>
    <w:tmpl w:val="4E104F94"/>
    <w:lvl w:ilvl="0" w:tplc="77CAE47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B6FD9"/>
    <w:multiLevelType w:val="hybridMultilevel"/>
    <w:tmpl w:val="523C4F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52297B"/>
    <w:multiLevelType w:val="hybridMultilevel"/>
    <w:tmpl w:val="0BC4A808"/>
    <w:lvl w:ilvl="0" w:tplc="9D2E80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090F02"/>
    <w:multiLevelType w:val="hybridMultilevel"/>
    <w:tmpl w:val="E8385A3C"/>
    <w:lvl w:ilvl="0" w:tplc="77CAE47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944E5C"/>
    <w:multiLevelType w:val="hybridMultilevel"/>
    <w:tmpl w:val="DA3E17AA"/>
    <w:lvl w:ilvl="0" w:tplc="77CAE47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574567"/>
    <w:multiLevelType w:val="hybridMultilevel"/>
    <w:tmpl w:val="B79A06A8"/>
    <w:lvl w:ilvl="0" w:tplc="040C000B">
      <w:start w:val="1"/>
      <w:numFmt w:val="bullet"/>
      <w:lvlText w:val=""/>
      <w:lvlJc w:val="left"/>
      <w:pPr>
        <w:ind w:left="720" w:hanging="360"/>
      </w:pPr>
      <w:rPr>
        <w:rFonts w:ascii="Wingdings" w:hAnsi="Wingdings" w:hint="default"/>
        <w:color w:val="043B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5B332F"/>
    <w:multiLevelType w:val="hybridMultilevel"/>
    <w:tmpl w:val="0D3E4062"/>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AE097E"/>
    <w:multiLevelType w:val="hybridMultilevel"/>
    <w:tmpl w:val="C8EECC52"/>
    <w:lvl w:ilvl="0" w:tplc="77CAE47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035DF"/>
    <w:multiLevelType w:val="hybridMultilevel"/>
    <w:tmpl w:val="E2BE15C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9D39D7"/>
    <w:multiLevelType w:val="hybridMultilevel"/>
    <w:tmpl w:val="4C48CB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47138C"/>
    <w:multiLevelType w:val="hybridMultilevel"/>
    <w:tmpl w:val="B9741862"/>
    <w:lvl w:ilvl="0" w:tplc="A2E22AF2">
      <w:start w:val="1"/>
      <w:numFmt w:val="bullet"/>
      <w:lvlText w:val=""/>
      <w:lvlJc w:val="left"/>
      <w:pPr>
        <w:ind w:left="720" w:hanging="360"/>
      </w:pPr>
      <w:rPr>
        <w:rFonts w:ascii="Wingdings" w:hAnsi="Wingdings" w:hint="default"/>
        <w:color w:val="043B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5F0DCE"/>
    <w:multiLevelType w:val="hybridMultilevel"/>
    <w:tmpl w:val="ECAAEF86"/>
    <w:lvl w:ilvl="0" w:tplc="77CAE47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7"/>
  </w:num>
  <w:num w:numId="6">
    <w:abstractNumId w:val="12"/>
  </w:num>
  <w:num w:numId="7">
    <w:abstractNumId w:val="1"/>
  </w:num>
  <w:num w:numId="8">
    <w:abstractNumId w:val="11"/>
  </w:num>
  <w:num w:numId="9">
    <w:abstractNumId w:val="0"/>
  </w:num>
  <w:num w:numId="10">
    <w:abstractNumId w:val="10"/>
  </w:num>
  <w:num w:numId="11">
    <w:abstractNumId w:val="6"/>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8E"/>
    <w:rsid w:val="0000736B"/>
    <w:rsid w:val="00015E38"/>
    <w:rsid w:val="0005471D"/>
    <w:rsid w:val="00094936"/>
    <w:rsid w:val="000C5507"/>
    <w:rsid w:val="000C655B"/>
    <w:rsid w:val="000D2649"/>
    <w:rsid w:val="001B3E97"/>
    <w:rsid w:val="001B66B4"/>
    <w:rsid w:val="001D7D64"/>
    <w:rsid w:val="002759A4"/>
    <w:rsid w:val="002969F1"/>
    <w:rsid w:val="00302621"/>
    <w:rsid w:val="0032663F"/>
    <w:rsid w:val="0033148E"/>
    <w:rsid w:val="00347ACB"/>
    <w:rsid w:val="0041044A"/>
    <w:rsid w:val="004B4204"/>
    <w:rsid w:val="004D41D2"/>
    <w:rsid w:val="00503ACA"/>
    <w:rsid w:val="00520090"/>
    <w:rsid w:val="00541507"/>
    <w:rsid w:val="00565065"/>
    <w:rsid w:val="005B521F"/>
    <w:rsid w:val="005F69A5"/>
    <w:rsid w:val="00607E7B"/>
    <w:rsid w:val="0062244E"/>
    <w:rsid w:val="0065557E"/>
    <w:rsid w:val="00680431"/>
    <w:rsid w:val="006A61FB"/>
    <w:rsid w:val="00705A96"/>
    <w:rsid w:val="00746D83"/>
    <w:rsid w:val="007B0FA1"/>
    <w:rsid w:val="00800ADE"/>
    <w:rsid w:val="00827EFC"/>
    <w:rsid w:val="00827FA1"/>
    <w:rsid w:val="00834FF6"/>
    <w:rsid w:val="00866504"/>
    <w:rsid w:val="00877C8D"/>
    <w:rsid w:val="008A73A3"/>
    <w:rsid w:val="00954F1E"/>
    <w:rsid w:val="00983F4E"/>
    <w:rsid w:val="00987848"/>
    <w:rsid w:val="009B5A2B"/>
    <w:rsid w:val="00A22824"/>
    <w:rsid w:val="00A9633E"/>
    <w:rsid w:val="00AC08D9"/>
    <w:rsid w:val="00AE6E41"/>
    <w:rsid w:val="00AF00E7"/>
    <w:rsid w:val="00B53EDA"/>
    <w:rsid w:val="00B73112"/>
    <w:rsid w:val="00BA2F99"/>
    <w:rsid w:val="00C237BE"/>
    <w:rsid w:val="00C46A7A"/>
    <w:rsid w:val="00C55AEE"/>
    <w:rsid w:val="00CB312F"/>
    <w:rsid w:val="00CC2417"/>
    <w:rsid w:val="00CD5CA1"/>
    <w:rsid w:val="00CE053F"/>
    <w:rsid w:val="00CE3D11"/>
    <w:rsid w:val="00CF4432"/>
    <w:rsid w:val="00D0576C"/>
    <w:rsid w:val="00D102B3"/>
    <w:rsid w:val="00D16EE9"/>
    <w:rsid w:val="00D24DC6"/>
    <w:rsid w:val="00D41C09"/>
    <w:rsid w:val="00D56BF9"/>
    <w:rsid w:val="00D93C2F"/>
    <w:rsid w:val="00DC4CBD"/>
    <w:rsid w:val="00DF7A35"/>
    <w:rsid w:val="00E30B62"/>
    <w:rsid w:val="00E40F8D"/>
    <w:rsid w:val="00E43122"/>
    <w:rsid w:val="00E83D3E"/>
    <w:rsid w:val="00EB1C76"/>
    <w:rsid w:val="00EB5846"/>
    <w:rsid w:val="00ED3D8E"/>
    <w:rsid w:val="00ED6363"/>
    <w:rsid w:val="00F07D52"/>
    <w:rsid w:val="00F2249D"/>
    <w:rsid w:val="00F40BB3"/>
    <w:rsid w:val="00F80C95"/>
    <w:rsid w:val="00FD5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8BB1"/>
  <w15:chartTrackingRefBased/>
  <w15:docId w15:val="{C7A318F7-285E-48DD-86AB-9B75F540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B0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237BE"/>
    <w:pPr>
      <w:ind w:left="720"/>
      <w:contextualSpacing/>
    </w:pPr>
  </w:style>
  <w:style w:type="character" w:styleId="Lienhypertexte">
    <w:name w:val="Hyperlink"/>
    <w:basedOn w:val="Policepardfaut"/>
    <w:uiPriority w:val="99"/>
    <w:unhideWhenUsed/>
    <w:rsid w:val="00E83D3E"/>
    <w:rPr>
      <w:color w:val="0563C1" w:themeColor="hyperlink"/>
      <w:u w:val="single"/>
    </w:rPr>
  </w:style>
  <w:style w:type="character" w:styleId="Mentionnonrsolue">
    <w:name w:val="Unresolved Mention"/>
    <w:basedOn w:val="Policepardfaut"/>
    <w:uiPriority w:val="99"/>
    <w:semiHidden/>
    <w:unhideWhenUsed/>
    <w:rsid w:val="00E83D3E"/>
    <w:rPr>
      <w:color w:val="605E5C"/>
      <w:shd w:val="clear" w:color="auto" w:fill="E1DFDD"/>
    </w:rPr>
  </w:style>
  <w:style w:type="character" w:styleId="Marquedecommentaire">
    <w:name w:val="annotation reference"/>
    <w:basedOn w:val="Policepardfaut"/>
    <w:uiPriority w:val="99"/>
    <w:semiHidden/>
    <w:unhideWhenUsed/>
    <w:rsid w:val="00954F1E"/>
    <w:rPr>
      <w:sz w:val="16"/>
      <w:szCs w:val="16"/>
    </w:rPr>
  </w:style>
  <w:style w:type="paragraph" w:styleId="Commentaire">
    <w:name w:val="annotation text"/>
    <w:basedOn w:val="Normal"/>
    <w:link w:val="CommentaireCar"/>
    <w:uiPriority w:val="99"/>
    <w:semiHidden/>
    <w:unhideWhenUsed/>
    <w:rsid w:val="00954F1E"/>
    <w:pPr>
      <w:spacing w:line="240" w:lineRule="auto"/>
    </w:pPr>
    <w:rPr>
      <w:sz w:val="20"/>
      <w:szCs w:val="20"/>
    </w:rPr>
  </w:style>
  <w:style w:type="character" w:customStyle="1" w:styleId="CommentaireCar">
    <w:name w:val="Commentaire Car"/>
    <w:basedOn w:val="Policepardfaut"/>
    <w:link w:val="Commentaire"/>
    <w:uiPriority w:val="99"/>
    <w:semiHidden/>
    <w:rsid w:val="00954F1E"/>
    <w:rPr>
      <w:sz w:val="20"/>
      <w:szCs w:val="20"/>
    </w:rPr>
  </w:style>
  <w:style w:type="paragraph" w:styleId="Objetducommentaire">
    <w:name w:val="annotation subject"/>
    <w:basedOn w:val="Commentaire"/>
    <w:next w:val="Commentaire"/>
    <w:link w:val="ObjetducommentaireCar"/>
    <w:uiPriority w:val="99"/>
    <w:semiHidden/>
    <w:unhideWhenUsed/>
    <w:rsid w:val="00954F1E"/>
    <w:rPr>
      <w:b/>
      <w:bCs/>
    </w:rPr>
  </w:style>
  <w:style w:type="character" w:customStyle="1" w:styleId="ObjetducommentaireCar">
    <w:name w:val="Objet du commentaire Car"/>
    <w:basedOn w:val="CommentaireCar"/>
    <w:link w:val="Objetducommentaire"/>
    <w:uiPriority w:val="99"/>
    <w:semiHidden/>
    <w:rsid w:val="00954F1E"/>
    <w:rPr>
      <w:b/>
      <w:bCs/>
      <w:sz w:val="20"/>
      <w:szCs w:val="20"/>
    </w:rPr>
  </w:style>
  <w:style w:type="paragraph" w:styleId="Textedebulles">
    <w:name w:val="Balloon Text"/>
    <w:basedOn w:val="Normal"/>
    <w:link w:val="TextedebullesCar"/>
    <w:uiPriority w:val="99"/>
    <w:semiHidden/>
    <w:unhideWhenUsed/>
    <w:rsid w:val="00954F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4512-BD04-4AB9-9558-6B715471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5221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Aissa</dc:creator>
  <cp:keywords/>
  <dc:description/>
  <cp:lastModifiedBy>Veronique Isard</cp:lastModifiedBy>
  <cp:revision>2</cp:revision>
  <dcterms:created xsi:type="dcterms:W3CDTF">2024-07-12T09:18:00Z</dcterms:created>
  <dcterms:modified xsi:type="dcterms:W3CDTF">2024-07-12T09:18:00Z</dcterms:modified>
</cp:coreProperties>
</file>